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19" w:rsidRPr="00C24AD2" w:rsidRDefault="00684219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0B39AC">
        <w:rPr>
          <w:b/>
          <w:sz w:val="28"/>
          <w:szCs w:val="28"/>
        </w:rPr>
        <w:t>Е</w:t>
      </w:r>
    </w:p>
    <w:p w:rsidR="00684219" w:rsidRPr="00DF7A79" w:rsidRDefault="00684219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684219" w:rsidRPr="00DF7A79" w:rsidRDefault="00684219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684219" w:rsidRPr="00DF7A79" w:rsidRDefault="00684219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684219" w:rsidRPr="00DF7A79" w:rsidRDefault="00684219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684219" w:rsidRPr="00523786" w:rsidRDefault="0068421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684219" w:rsidRDefault="0068421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684219" w:rsidRPr="00523786" w:rsidRDefault="0068421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C44E5C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Кармало-Аделяково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4B2643">
        <w:rPr>
          <w:noProof/>
          <w:sz w:val="28"/>
          <w:szCs w:val="28"/>
        </w:rPr>
        <w:t>10.01.2021 г.</w:t>
      </w:r>
      <w:r w:rsidRPr="00AE44D1">
        <w:rPr>
          <w:noProof/>
          <w:sz w:val="28"/>
          <w:szCs w:val="28"/>
        </w:rPr>
        <w:t xml:space="preserve"> № </w:t>
      </w:r>
      <w:r w:rsidR="004B2643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684219" w:rsidRPr="00DF7A79" w:rsidRDefault="0068421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684219" w:rsidRPr="00DF7A79" w:rsidRDefault="0068421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B2643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684219" w:rsidRPr="004B2643" w:rsidRDefault="0068421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слушаниях приняли </w:t>
      </w:r>
      <w:r w:rsidRPr="004B2643">
        <w:rPr>
          <w:sz w:val="28"/>
          <w:szCs w:val="28"/>
        </w:rPr>
        <w:t xml:space="preserve">участие </w:t>
      </w:r>
      <w:r w:rsidR="004B2643" w:rsidRPr="004B2643">
        <w:rPr>
          <w:sz w:val="28"/>
          <w:szCs w:val="28"/>
        </w:rPr>
        <w:t>10</w:t>
      </w:r>
      <w:r w:rsidRPr="004B2643">
        <w:rPr>
          <w:sz w:val="28"/>
          <w:szCs w:val="28"/>
        </w:rPr>
        <w:t xml:space="preserve"> человек.</w:t>
      </w:r>
    </w:p>
    <w:p w:rsidR="00684219" w:rsidRPr="004B2643" w:rsidRDefault="0068421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4B2643">
        <w:rPr>
          <w:sz w:val="28"/>
          <w:szCs w:val="28"/>
        </w:rPr>
        <w:t xml:space="preserve">5. Предложения и замечания по проекту </w:t>
      </w:r>
      <w:r w:rsidR="004B2643" w:rsidRPr="004B2643">
        <w:rPr>
          <w:sz w:val="28"/>
          <w:szCs w:val="28"/>
        </w:rPr>
        <w:t>-  10</w:t>
      </w:r>
      <w:r w:rsidRPr="004B2643">
        <w:rPr>
          <w:sz w:val="28"/>
          <w:szCs w:val="28"/>
        </w:rPr>
        <w:t xml:space="preserve">,  внесено в протокол публичных слушаний </w:t>
      </w:r>
      <w:r w:rsidR="004B2643" w:rsidRPr="004B2643">
        <w:rPr>
          <w:sz w:val="28"/>
          <w:szCs w:val="28"/>
        </w:rPr>
        <w:t>- 10</w:t>
      </w:r>
      <w:r w:rsidRPr="004B2643">
        <w:rPr>
          <w:sz w:val="28"/>
          <w:szCs w:val="28"/>
        </w:rPr>
        <w:t>.</w:t>
      </w:r>
    </w:p>
    <w:p w:rsidR="00684219" w:rsidRDefault="00684219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2643">
        <w:rPr>
          <w:sz w:val="28"/>
          <w:szCs w:val="28"/>
        </w:rPr>
        <w:t>6. Обобщенные сведения, полученные при</w:t>
      </w:r>
      <w:r w:rsidRPr="00DF7A79">
        <w:rPr>
          <w:sz w:val="28"/>
          <w:szCs w:val="28"/>
        </w:rPr>
        <w:t xml:space="preserve">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684219" w:rsidRPr="00DF7A79" w:rsidRDefault="00684219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684219" w:rsidRPr="006A6BB2" w:rsidRDefault="00684219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684219" w:rsidRPr="006A6BB2" w:rsidRDefault="00684219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684219" w:rsidRPr="006A6BB2" w:rsidRDefault="00684219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684219" w:rsidRPr="006A6BB2" w:rsidTr="00A92337">
        <w:tc>
          <w:tcPr>
            <w:tcW w:w="10490" w:type="dxa"/>
            <w:gridSpan w:val="4"/>
          </w:tcPr>
          <w:p w:rsidR="00684219" w:rsidRPr="006A6BB2" w:rsidRDefault="00684219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  <w:proofErr w:type="gramEnd"/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684219" w:rsidRPr="006A6BB2" w:rsidRDefault="0057031A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377223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377223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684219" w:rsidRPr="006A6BB2" w:rsidTr="0057031A">
        <w:tc>
          <w:tcPr>
            <w:tcW w:w="565" w:type="dxa"/>
          </w:tcPr>
          <w:p w:rsidR="00684219" w:rsidRPr="006A6BB2" w:rsidRDefault="006842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684219" w:rsidRPr="006A6BB2" w:rsidRDefault="00377223" w:rsidP="004B2643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t xml:space="preserve">. В ст. 20 вид разрешенного использования, предусматривающий размещение школ в жилых зонах (жилой зоне) </w:t>
            </w:r>
            <w:r w:rsidR="00684219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684219" w:rsidRPr="006A6BB2" w:rsidRDefault="00377223" w:rsidP="004B2643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="00684219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684219" w:rsidRPr="006A6BB2" w:rsidRDefault="00377223" w:rsidP="004B2643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t>. В ст. 22 вид разрешенного использования «склады» в зон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t xml:space="preserve"> Сх1 </w:t>
            </w:r>
            <w:r w:rsidR="00684219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684219" w:rsidRPr="006A6BB2" w:rsidRDefault="00377223" w:rsidP="004B264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t xml:space="preserve">. В ст. 23  «минимальный отступ от границ земельного участка до отдельно стоящих зданий и минимальный отступ 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lastRenderedPageBreak/>
              <w:t>от границ земельного участка до строений и сооружений» в зоне О</w:t>
            </w:r>
            <w:proofErr w:type="gramStart"/>
            <w:r w:rsidR="00684219" w:rsidRPr="006A6BB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684219" w:rsidRPr="006A6BB2">
              <w:rPr>
                <w:color w:val="000000" w:themeColor="text1"/>
                <w:sz w:val="24"/>
                <w:szCs w:val="24"/>
              </w:rPr>
              <w:t xml:space="preserve"> отразить не 5 м, а 3 м. </w:t>
            </w:r>
          </w:p>
          <w:p w:rsidR="00684219" w:rsidRPr="00377223" w:rsidRDefault="00377223" w:rsidP="004B264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</w:t>
            </w:r>
            <w:r w:rsidR="00CD142D">
              <w:rPr>
                <w:color w:val="000000" w:themeColor="text1"/>
                <w:sz w:val="24"/>
                <w:szCs w:val="24"/>
              </w:rPr>
              <w:t>и сооружений» в зонах Сх</w:t>
            </w:r>
            <w:proofErr w:type="gramStart"/>
            <w:r w:rsidR="00CD142D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CD14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219" w:rsidRPr="006A6BB2">
              <w:rPr>
                <w:color w:val="000000" w:themeColor="text1"/>
                <w:sz w:val="24"/>
                <w:szCs w:val="24"/>
              </w:rPr>
              <w:t>отразить не в размере 20 м, а в размере 30 м.</w:t>
            </w:r>
          </w:p>
        </w:tc>
        <w:tc>
          <w:tcPr>
            <w:tcW w:w="4928" w:type="dxa"/>
          </w:tcPr>
          <w:p w:rsidR="00377223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684219" w:rsidRPr="006A6BB2" w:rsidRDefault="00684219" w:rsidP="004B264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684219" w:rsidRPr="006A6BB2" w:rsidRDefault="00684219" w:rsidP="004B264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647221" w:rsidRPr="006A6BB2" w:rsidTr="0057031A">
        <w:tc>
          <w:tcPr>
            <w:tcW w:w="565" w:type="dxa"/>
          </w:tcPr>
          <w:p w:rsidR="00647221" w:rsidRPr="006A6BB2" w:rsidRDefault="00647221" w:rsidP="00647221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647221" w:rsidRPr="0057031A" w:rsidRDefault="00647221" w:rsidP="004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647221" w:rsidRDefault="00647221" w:rsidP="004B264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647221" w:rsidRPr="0057031A" w:rsidRDefault="00647221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647221" w:rsidRPr="006A6BB2" w:rsidRDefault="00647221" w:rsidP="004B2643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647221" w:rsidRPr="006A6BB2" w:rsidTr="0057031A">
        <w:tc>
          <w:tcPr>
            <w:tcW w:w="565" w:type="dxa"/>
          </w:tcPr>
          <w:p w:rsidR="00647221" w:rsidRPr="006A6BB2" w:rsidRDefault="00647221" w:rsidP="00647221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647221" w:rsidRDefault="00647221" w:rsidP="004B264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647221" w:rsidRPr="0057031A" w:rsidRDefault="00647221" w:rsidP="004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обозначить  на карте градостроительного зонирования  условным </w:t>
            </w:r>
            <w:r>
              <w:rPr>
                <w:sz w:val="24"/>
                <w:szCs w:val="24"/>
              </w:rPr>
              <w:lastRenderedPageBreak/>
              <w:t>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647221" w:rsidRDefault="00647221" w:rsidP="004B264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647221" w:rsidRPr="0057031A" w:rsidRDefault="00647221" w:rsidP="004B264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647221" w:rsidRPr="006A6BB2" w:rsidRDefault="00647221" w:rsidP="004B2643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4B2643" w:rsidRPr="006A6BB2" w:rsidTr="0057031A">
        <w:tc>
          <w:tcPr>
            <w:tcW w:w="565" w:type="dxa"/>
          </w:tcPr>
          <w:p w:rsidR="004B2643" w:rsidRDefault="004B2643" w:rsidP="00647221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4B2643" w:rsidRDefault="004B2643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4B2643" w:rsidRDefault="004B2643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4B2643" w:rsidRDefault="004B264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4B2643" w:rsidRDefault="004B2643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B2643" w:rsidRDefault="004B2643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4B2643" w:rsidRPr="006A6BB2" w:rsidTr="00A92337">
        <w:tc>
          <w:tcPr>
            <w:tcW w:w="10490" w:type="dxa"/>
            <w:gridSpan w:val="4"/>
          </w:tcPr>
          <w:p w:rsidR="004B2643" w:rsidRPr="006A6BB2" w:rsidRDefault="004B26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4B2643" w:rsidRPr="006A6BB2" w:rsidTr="0057031A">
        <w:tc>
          <w:tcPr>
            <w:tcW w:w="565" w:type="dxa"/>
            <w:tcBorders>
              <w:right w:val="single" w:sz="4" w:space="0" w:color="auto"/>
            </w:tcBorders>
          </w:tcPr>
          <w:p w:rsidR="004B2643" w:rsidRPr="006A6BB2" w:rsidRDefault="004B26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2643" w:rsidRPr="006A6BB2" w:rsidRDefault="004B26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4B2643" w:rsidRPr="006A6BB2" w:rsidRDefault="004B26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4B2643" w:rsidRPr="006A6BB2" w:rsidRDefault="004B26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684219" w:rsidRDefault="00684219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684219" w:rsidRPr="0097503E" w:rsidRDefault="00684219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684219" w:rsidRDefault="00684219" w:rsidP="008E7FF8">
      <w:pPr>
        <w:pStyle w:val="a6"/>
        <w:ind w:right="360"/>
        <w:jc w:val="both"/>
      </w:pPr>
    </w:p>
    <w:p w:rsidR="00684219" w:rsidRPr="004B2643" w:rsidRDefault="004B2643" w:rsidP="008E7FF8">
      <w:pPr>
        <w:pStyle w:val="a6"/>
        <w:ind w:right="360"/>
        <w:jc w:val="both"/>
        <w:rPr>
          <w:sz w:val="28"/>
          <w:szCs w:val="28"/>
        </w:rPr>
      </w:pPr>
      <w:r w:rsidRPr="004B2643">
        <w:rPr>
          <w:sz w:val="28"/>
          <w:szCs w:val="28"/>
        </w:rPr>
        <w:t>Глава сельского поселения Кармало-Аделяково</w:t>
      </w:r>
    </w:p>
    <w:p w:rsidR="004B2643" w:rsidRPr="004B2643" w:rsidRDefault="004B2643" w:rsidP="008E7FF8">
      <w:pPr>
        <w:pStyle w:val="a6"/>
        <w:ind w:right="360"/>
        <w:jc w:val="both"/>
        <w:rPr>
          <w:sz w:val="28"/>
          <w:szCs w:val="28"/>
        </w:rPr>
      </w:pPr>
      <w:r w:rsidRPr="004B2643">
        <w:rPr>
          <w:sz w:val="28"/>
          <w:szCs w:val="28"/>
        </w:rPr>
        <w:t>муниципального района Сергиевский</w:t>
      </w:r>
    </w:p>
    <w:p w:rsidR="00684219" w:rsidRPr="004B2643" w:rsidRDefault="004B2643" w:rsidP="00A92337">
      <w:pPr>
        <w:pStyle w:val="a6"/>
        <w:ind w:right="360"/>
        <w:jc w:val="both"/>
        <w:rPr>
          <w:i/>
          <w:iCs/>
          <w:sz w:val="28"/>
          <w:szCs w:val="28"/>
        </w:rPr>
        <w:sectPr w:rsidR="00684219" w:rsidRPr="004B2643" w:rsidSect="00684219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4B2643">
        <w:rPr>
          <w:sz w:val="28"/>
          <w:szCs w:val="28"/>
        </w:rPr>
        <w:t>Самарской области</w:t>
      </w:r>
      <w:r w:rsidR="00684219" w:rsidRPr="004B2643">
        <w:rPr>
          <w:sz w:val="28"/>
          <w:szCs w:val="28"/>
        </w:rPr>
        <w:t xml:space="preserve">  ______________</w:t>
      </w:r>
      <w:r w:rsidRPr="004B2643">
        <w:rPr>
          <w:sz w:val="28"/>
          <w:szCs w:val="28"/>
        </w:rPr>
        <w:t>/</w:t>
      </w:r>
      <w:r w:rsidR="004339D7">
        <w:rPr>
          <w:noProof/>
          <w:sz w:val="28"/>
          <w:szCs w:val="28"/>
        </w:rPr>
        <w:t>О.М.</w:t>
      </w:r>
      <w:r w:rsidR="00684219" w:rsidRPr="004B2643">
        <w:rPr>
          <w:noProof/>
          <w:sz w:val="28"/>
          <w:szCs w:val="28"/>
        </w:rPr>
        <w:t>Карягин</w:t>
      </w:r>
      <w:r w:rsidRPr="004B2643">
        <w:rPr>
          <w:noProof/>
          <w:sz w:val="28"/>
          <w:szCs w:val="28"/>
        </w:rPr>
        <w:t>/</w:t>
      </w:r>
    </w:p>
    <w:p w:rsidR="00684219" w:rsidRPr="008E7FF8" w:rsidRDefault="00684219" w:rsidP="00A92337">
      <w:pPr>
        <w:pStyle w:val="a6"/>
        <w:ind w:right="360"/>
        <w:jc w:val="both"/>
      </w:pPr>
    </w:p>
    <w:sectPr w:rsidR="00684219" w:rsidRPr="008E7FF8" w:rsidSect="00684219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B39AC"/>
    <w:rsid w:val="000E6565"/>
    <w:rsid w:val="001304CD"/>
    <w:rsid w:val="00161433"/>
    <w:rsid w:val="002E6E26"/>
    <w:rsid w:val="0034386A"/>
    <w:rsid w:val="00377223"/>
    <w:rsid w:val="003C0536"/>
    <w:rsid w:val="003F0223"/>
    <w:rsid w:val="004036C7"/>
    <w:rsid w:val="004339D7"/>
    <w:rsid w:val="00484A15"/>
    <w:rsid w:val="004A5F0C"/>
    <w:rsid w:val="004B2643"/>
    <w:rsid w:val="004E1567"/>
    <w:rsid w:val="005203B7"/>
    <w:rsid w:val="00523786"/>
    <w:rsid w:val="005502FD"/>
    <w:rsid w:val="0057031A"/>
    <w:rsid w:val="005D16D4"/>
    <w:rsid w:val="00630916"/>
    <w:rsid w:val="00632CD4"/>
    <w:rsid w:val="00647221"/>
    <w:rsid w:val="00660F6F"/>
    <w:rsid w:val="00684219"/>
    <w:rsid w:val="006A6BB2"/>
    <w:rsid w:val="007A508E"/>
    <w:rsid w:val="007E7532"/>
    <w:rsid w:val="00855DDA"/>
    <w:rsid w:val="008E041B"/>
    <w:rsid w:val="008E7FF8"/>
    <w:rsid w:val="0097503E"/>
    <w:rsid w:val="00A37D2E"/>
    <w:rsid w:val="00A92337"/>
    <w:rsid w:val="00AF39C8"/>
    <w:rsid w:val="00BE75C2"/>
    <w:rsid w:val="00C44E5C"/>
    <w:rsid w:val="00CC5FF9"/>
    <w:rsid w:val="00CD142D"/>
    <w:rsid w:val="00DA6CC1"/>
    <w:rsid w:val="00DD4E15"/>
    <w:rsid w:val="00EA03F8"/>
    <w:rsid w:val="00ED1020"/>
    <w:rsid w:val="00F17358"/>
    <w:rsid w:val="00F67A20"/>
    <w:rsid w:val="00FA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4B2643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6</cp:revision>
  <cp:lastPrinted>2021-03-30T06:40:00Z</cp:lastPrinted>
  <dcterms:created xsi:type="dcterms:W3CDTF">2021-03-30T03:59:00Z</dcterms:created>
  <dcterms:modified xsi:type="dcterms:W3CDTF">2021-03-31T09:39:00Z</dcterms:modified>
</cp:coreProperties>
</file>